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A4" w:rsidRPr="005D6DA4" w:rsidRDefault="005D6DA4" w:rsidP="005D6DA4">
      <w:pPr>
        <w:jc w:val="center"/>
        <w:rPr>
          <w:rFonts w:ascii="標楷體" w:eastAsia="標楷體" w:hAnsi="標楷體"/>
          <w:sz w:val="28"/>
        </w:rPr>
      </w:pPr>
      <w:r w:rsidRPr="005D6DA4">
        <w:rPr>
          <w:rFonts w:ascii="標楷體" w:eastAsia="標楷體" w:hAnsi="標楷體" w:hint="eastAsia"/>
          <w:sz w:val="28"/>
        </w:rPr>
        <w:t>臺北城市科技大學化妝品應用與管理系課程發展委員會</w:t>
      </w:r>
      <w:r w:rsidR="006758FC" w:rsidRPr="006758FC">
        <w:rPr>
          <w:rFonts w:ascii="標楷體" w:eastAsia="標楷體" w:hAnsi="標楷體" w:hint="eastAsia"/>
          <w:sz w:val="28"/>
        </w:rPr>
        <w:t>設置</w:t>
      </w:r>
      <w:r w:rsidRPr="005D6DA4">
        <w:rPr>
          <w:rFonts w:ascii="標楷體" w:eastAsia="標楷體" w:hAnsi="標楷體" w:hint="eastAsia"/>
          <w:sz w:val="28"/>
        </w:rPr>
        <w:t>要點</w:t>
      </w:r>
    </w:p>
    <w:p w:rsidR="005D6DA4" w:rsidRDefault="005D6DA4" w:rsidP="005D6DA4">
      <w:pPr>
        <w:rPr>
          <w:rFonts w:ascii="標楷體" w:eastAsia="標楷體" w:hAnsi="標楷體"/>
        </w:rPr>
      </w:pPr>
    </w:p>
    <w:p w:rsidR="00AF1529" w:rsidRDefault="00870A98" w:rsidP="00AF1529">
      <w:pPr>
        <w:jc w:val="right"/>
        <w:rPr>
          <w:rFonts w:ascii="標楷體" w:eastAsia="標楷體" w:hAnsi="標楷體"/>
          <w:sz w:val="20"/>
        </w:rPr>
      </w:pPr>
      <w:r>
        <w:rPr>
          <w:rFonts w:ascii="標楷體" w:eastAsia="標楷體" w:hAnsi="標楷體" w:hint="eastAsia"/>
          <w:sz w:val="20"/>
        </w:rPr>
        <w:t>1</w:t>
      </w:r>
      <w:r>
        <w:rPr>
          <w:rFonts w:ascii="標楷體" w:eastAsia="標楷體" w:hAnsi="標楷體"/>
          <w:sz w:val="20"/>
        </w:rPr>
        <w:t>03</w:t>
      </w:r>
      <w:r w:rsidR="005D6DA4" w:rsidRPr="005D6DA4">
        <w:rPr>
          <w:rFonts w:ascii="標楷體" w:eastAsia="標楷體" w:hAnsi="標楷體" w:hint="eastAsia"/>
          <w:sz w:val="20"/>
        </w:rPr>
        <w:t>年</w:t>
      </w:r>
      <w:r>
        <w:rPr>
          <w:rFonts w:ascii="標楷體" w:eastAsia="標楷體" w:hAnsi="標楷體" w:hint="eastAsia"/>
          <w:sz w:val="20"/>
        </w:rPr>
        <w:t>10</w:t>
      </w:r>
      <w:r w:rsidR="005D6DA4" w:rsidRPr="005D6DA4">
        <w:rPr>
          <w:rFonts w:ascii="標楷體" w:eastAsia="標楷體" w:hAnsi="標楷體" w:hint="eastAsia"/>
          <w:sz w:val="20"/>
        </w:rPr>
        <w:t>月</w:t>
      </w:r>
      <w:r>
        <w:rPr>
          <w:rFonts w:ascii="標楷體" w:eastAsia="標楷體" w:hAnsi="標楷體" w:hint="eastAsia"/>
          <w:sz w:val="20"/>
        </w:rPr>
        <w:t>17</w:t>
      </w:r>
      <w:r w:rsidR="005D6DA4" w:rsidRPr="005D6DA4">
        <w:rPr>
          <w:rFonts w:ascii="標楷體" w:eastAsia="標楷體" w:hAnsi="標楷體" w:hint="eastAsia"/>
          <w:sz w:val="20"/>
        </w:rPr>
        <w:t>日系務會議修訂通過</w:t>
      </w:r>
    </w:p>
    <w:p w:rsidR="00AF1529" w:rsidRPr="00AF1529" w:rsidRDefault="00AF1529" w:rsidP="00AF1529">
      <w:pPr>
        <w:jc w:val="right"/>
        <w:rPr>
          <w:rFonts w:ascii="標楷體" w:eastAsia="標楷體" w:hAnsi="標楷體"/>
          <w:szCs w:val="24"/>
        </w:rPr>
      </w:pPr>
    </w:p>
    <w:p w:rsidR="00AF1529" w:rsidRDefault="00AF1529" w:rsidP="00AF1529">
      <w:pPr>
        <w:pStyle w:val="a3"/>
        <w:numPr>
          <w:ilvl w:val="0"/>
          <w:numId w:val="3"/>
        </w:numPr>
        <w:ind w:leftChars="0"/>
        <w:rPr>
          <w:rFonts w:ascii="標楷體" w:eastAsia="標楷體" w:hAnsi="標楷體"/>
          <w:szCs w:val="24"/>
        </w:rPr>
      </w:pPr>
      <w:r w:rsidRPr="00AF1529">
        <w:rPr>
          <w:rFonts w:ascii="標楷體" w:eastAsia="標楷體" w:hAnsi="標楷體" w:hint="eastAsia"/>
          <w:szCs w:val="24"/>
        </w:rPr>
        <w:t>臺</w:t>
      </w:r>
      <w:r w:rsidR="005D6DA4" w:rsidRPr="00AF1529">
        <w:rPr>
          <w:rFonts w:ascii="標楷體" w:eastAsia="標楷體" w:hAnsi="標楷體" w:hint="eastAsia"/>
          <w:szCs w:val="24"/>
        </w:rPr>
        <w:t>北城市科技大學化妝品應用與管理系（以下簡稱本系）為確保教學品質並賦予持續檢討提昇之機制，達成理論與實務並重、專業與通識兼顧、一貫課程之縱向延續與橫向整合之目的，特依據臺北城市科技大學「課程</w:t>
      </w:r>
      <w:r w:rsidR="006758FC" w:rsidRPr="00AF1529">
        <w:rPr>
          <w:rFonts w:ascii="標楷體" w:eastAsia="標楷體" w:hAnsi="標楷體" w:hint="eastAsia"/>
          <w:szCs w:val="24"/>
        </w:rPr>
        <w:t>發展</w:t>
      </w:r>
      <w:r w:rsidR="005D6DA4" w:rsidRPr="00AF1529">
        <w:rPr>
          <w:rFonts w:ascii="標楷體" w:eastAsia="標楷體" w:hAnsi="標楷體" w:hint="eastAsia"/>
          <w:szCs w:val="24"/>
        </w:rPr>
        <w:t>委員會組織辦法」第二條，設置化妝品應用與管理系課程發展委員會(以下簡稱本委員會)。</w:t>
      </w:r>
    </w:p>
    <w:p w:rsidR="00AF1529" w:rsidRDefault="005D6DA4" w:rsidP="00AF1529">
      <w:pPr>
        <w:pStyle w:val="a3"/>
        <w:numPr>
          <w:ilvl w:val="0"/>
          <w:numId w:val="3"/>
        </w:numPr>
        <w:ind w:leftChars="0"/>
        <w:rPr>
          <w:rFonts w:ascii="標楷體" w:eastAsia="標楷體" w:hAnsi="標楷體"/>
          <w:szCs w:val="24"/>
        </w:rPr>
      </w:pPr>
      <w:r w:rsidRPr="00AF1529">
        <w:rPr>
          <w:rFonts w:ascii="標楷體" w:eastAsia="標楷體" w:hAnsi="標楷體" w:hint="eastAsia"/>
          <w:szCs w:val="24"/>
        </w:rPr>
        <w:t>本委員會置課程委員若干人，系主任為當然委員，教師推選五名教師代表為本委員會之選任委員（到本系任職滿二年，助理教授級職以上），任期</w:t>
      </w:r>
      <w:r w:rsidR="00870A98" w:rsidRPr="00AF1529">
        <w:rPr>
          <w:rFonts w:ascii="標楷體" w:eastAsia="標楷體" w:hAnsi="標楷體" w:hint="eastAsia"/>
          <w:szCs w:val="24"/>
        </w:rPr>
        <w:t>二</w:t>
      </w:r>
      <w:r w:rsidRPr="00AF1529">
        <w:rPr>
          <w:rFonts w:ascii="標楷體" w:eastAsia="標楷體" w:hAnsi="標楷體" w:hint="eastAsia"/>
          <w:szCs w:val="24"/>
        </w:rPr>
        <w:t>年，連選得連任，系主任兼召集人，另置秘書一人、由系協調人兼任，另聘校外學者專家、產業界及學生代表(含畢業生)若干人，擔任諮詢委員。</w:t>
      </w:r>
    </w:p>
    <w:p w:rsidR="00AF1529" w:rsidRDefault="005D6DA4" w:rsidP="00AF1529">
      <w:pPr>
        <w:pStyle w:val="a3"/>
        <w:numPr>
          <w:ilvl w:val="0"/>
          <w:numId w:val="3"/>
        </w:numPr>
        <w:ind w:leftChars="0"/>
        <w:rPr>
          <w:rFonts w:ascii="標楷體" w:eastAsia="標楷體" w:hAnsi="標楷體"/>
          <w:szCs w:val="24"/>
        </w:rPr>
      </w:pPr>
      <w:r w:rsidRPr="00AF1529">
        <w:rPr>
          <w:rFonts w:ascii="標楷體" w:eastAsia="標楷體" w:hAnsi="標楷體" w:hint="eastAsia"/>
          <w:szCs w:val="24"/>
        </w:rPr>
        <w:t>委員會每學</w:t>
      </w:r>
      <w:r w:rsidR="00870A98" w:rsidRPr="00AF1529">
        <w:rPr>
          <w:rFonts w:ascii="標楷體" w:eastAsia="標楷體" w:hAnsi="標楷體" w:hint="eastAsia"/>
          <w:szCs w:val="24"/>
        </w:rPr>
        <w:t>年</w:t>
      </w:r>
      <w:r w:rsidRPr="00AF1529">
        <w:rPr>
          <w:rFonts w:ascii="標楷體" w:eastAsia="標楷體" w:hAnsi="標楷體" w:hint="eastAsia"/>
          <w:szCs w:val="24"/>
        </w:rPr>
        <w:t>至少開會一次，必要時得召開臨時會議，由召集人召集，並由本會全體課程委員二分之一以上(含)出席，方可開會。</w:t>
      </w:r>
    </w:p>
    <w:p w:rsidR="00AF1529" w:rsidRDefault="005D6DA4" w:rsidP="00AF1529">
      <w:pPr>
        <w:pStyle w:val="a3"/>
        <w:numPr>
          <w:ilvl w:val="0"/>
          <w:numId w:val="3"/>
        </w:numPr>
        <w:ind w:leftChars="0"/>
        <w:rPr>
          <w:rFonts w:ascii="標楷體" w:eastAsia="標楷體" w:hAnsi="標楷體"/>
          <w:szCs w:val="24"/>
        </w:rPr>
      </w:pPr>
      <w:r w:rsidRPr="00AF1529">
        <w:rPr>
          <w:rFonts w:ascii="標楷體" w:eastAsia="標楷體" w:hAnsi="標楷體" w:hint="eastAsia"/>
          <w:szCs w:val="24"/>
        </w:rPr>
        <w:t>本委員會之職掌：</w:t>
      </w:r>
    </w:p>
    <w:p w:rsidR="005D6DA4" w:rsidRDefault="005D6DA4" w:rsidP="00AF1529">
      <w:pPr>
        <w:pStyle w:val="a3"/>
        <w:numPr>
          <w:ilvl w:val="1"/>
          <w:numId w:val="3"/>
        </w:numPr>
        <w:ind w:leftChars="0"/>
        <w:rPr>
          <w:rFonts w:ascii="標楷體" w:eastAsia="標楷體" w:hAnsi="標楷體"/>
          <w:szCs w:val="24"/>
        </w:rPr>
      </w:pPr>
      <w:r w:rsidRPr="00AF1529">
        <w:rPr>
          <w:rFonts w:ascii="標楷體" w:eastAsia="標楷體" w:hAnsi="標楷體" w:hint="eastAsia"/>
          <w:szCs w:val="24"/>
        </w:rPr>
        <w:t>審議本系之課程標準。</w:t>
      </w:r>
    </w:p>
    <w:p w:rsidR="00AF1529" w:rsidRDefault="00AF1529" w:rsidP="00AF1529">
      <w:pPr>
        <w:pStyle w:val="a3"/>
        <w:numPr>
          <w:ilvl w:val="1"/>
          <w:numId w:val="3"/>
        </w:numPr>
        <w:ind w:leftChars="0"/>
        <w:rPr>
          <w:rFonts w:ascii="標楷體" w:eastAsia="標楷體" w:hAnsi="標楷體"/>
          <w:szCs w:val="24"/>
        </w:rPr>
      </w:pPr>
      <w:r w:rsidRPr="00AF1529">
        <w:rPr>
          <w:rFonts w:ascii="標楷體" w:eastAsia="標楷體" w:hAnsi="標楷體" w:hint="eastAsia"/>
          <w:szCs w:val="24"/>
        </w:rPr>
        <w:t>審議本系學程之課程標準。</w:t>
      </w:r>
    </w:p>
    <w:p w:rsidR="00AF1529" w:rsidRPr="00AF1529" w:rsidRDefault="00AF1529" w:rsidP="00AF1529">
      <w:pPr>
        <w:pStyle w:val="a3"/>
        <w:numPr>
          <w:ilvl w:val="1"/>
          <w:numId w:val="3"/>
        </w:numPr>
        <w:ind w:leftChars="0"/>
        <w:rPr>
          <w:rFonts w:ascii="標楷體" w:eastAsia="標楷體" w:hAnsi="標楷體" w:hint="eastAsia"/>
          <w:szCs w:val="24"/>
        </w:rPr>
      </w:pPr>
      <w:r w:rsidRPr="00AF1529">
        <w:rPr>
          <w:rFonts w:ascii="標楷體" w:eastAsia="標楷體" w:hAnsi="標楷體" w:hint="eastAsia"/>
          <w:szCs w:val="24"/>
        </w:rPr>
        <w:t>審議本系共同必修課程標準。</w:t>
      </w:r>
    </w:p>
    <w:p w:rsidR="00AF1529" w:rsidRPr="00AF1529" w:rsidRDefault="00AF1529" w:rsidP="00AF1529">
      <w:pPr>
        <w:pStyle w:val="a3"/>
        <w:numPr>
          <w:ilvl w:val="1"/>
          <w:numId w:val="3"/>
        </w:numPr>
        <w:ind w:leftChars="0"/>
        <w:rPr>
          <w:rFonts w:ascii="標楷體" w:eastAsia="標楷體" w:hAnsi="標楷體" w:hint="eastAsia"/>
          <w:szCs w:val="24"/>
        </w:rPr>
      </w:pPr>
      <w:r w:rsidRPr="00AF1529">
        <w:rPr>
          <w:rFonts w:ascii="標楷體" w:eastAsia="標楷體" w:hAnsi="標楷體" w:hint="eastAsia"/>
          <w:szCs w:val="24"/>
        </w:rPr>
        <w:t>審議本系其他課程相關事宜。</w:t>
      </w:r>
    </w:p>
    <w:p w:rsidR="005D6DA4" w:rsidRPr="00AF1529" w:rsidRDefault="00AF1529" w:rsidP="00AF1529">
      <w:pPr>
        <w:pStyle w:val="a3"/>
        <w:numPr>
          <w:ilvl w:val="1"/>
          <w:numId w:val="3"/>
        </w:numPr>
        <w:ind w:leftChars="0"/>
        <w:rPr>
          <w:rFonts w:ascii="標楷體" w:eastAsia="標楷體" w:hAnsi="標楷體" w:hint="eastAsia"/>
          <w:szCs w:val="24"/>
        </w:rPr>
      </w:pPr>
      <w:r w:rsidRPr="00AF1529">
        <w:rPr>
          <w:rFonts w:ascii="標楷體" w:eastAsia="標楷體" w:hAnsi="標楷體" w:hint="eastAsia"/>
          <w:szCs w:val="24"/>
        </w:rPr>
        <w:t>對系之課程提出建議。</w:t>
      </w:r>
    </w:p>
    <w:p w:rsidR="005D6DA4" w:rsidRPr="00AF1529" w:rsidRDefault="005D6DA4" w:rsidP="00AF1529">
      <w:pPr>
        <w:pStyle w:val="a3"/>
        <w:numPr>
          <w:ilvl w:val="0"/>
          <w:numId w:val="3"/>
        </w:numPr>
        <w:ind w:leftChars="0" w:left="851" w:hanging="851"/>
        <w:rPr>
          <w:rFonts w:ascii="標楷體" w:eastAsia="標楷體" w:hAnsi="標楷體"/>
          <w:szCs w:val="24"/>
        </w:rPr>
      </w:pPr>
      <w:bookmarkStart w:id="0" w:name="_GoBack"/>
      <w:bookmarkEnd w:id="0"/>
      <w:r w:rsidRPr="00AF1529">
        <w:rPr>
          <w:rFonts w:ascii="標楷體" w:eastAsia="標楷體" w:hAnsi="標楷體" w:hint="eastAsia"/>
          <w:szCs w:val="24"/>
        </w:rPr>
        <w:t>前條研議有關系課程之修訂，應於系務會議中提出議決，方可實施。</w:t>
      </w:r>
    </w:p>
    <w:p w:rsidR="005D6DA4" w:rsidRPr="00AF1529" w:rsidRDefault="005D6DA4" w:rsidP="00AF1529">
      <w:pPr>
        <w:pStyle w:val="a3"/>
        <w:numPr>
          <w:ilvl w:val="0"/>
          <w:numId w:val="3"/>
        </w:numPr>
        <w:ind w:leftChars="0" w:left="851" w:hanging="851"/>
        <w:rPr>
          <w:rFonts w:ascii="標楷體" w:eastAsia="標楷體" w:hAnsi="標楷體"/>
          <w:szCs w:val="24"/>
        </w:rPr>
      </w:pPr>
      <w:r w:rsidRPr="00AF1529">
        <w:rPr>
          <w:rFonts w:ascii="標楷體" w:eastAsia="標楷體" w:hAnsi="標楷體" w:hint="eastAsia"/>
          <w:szCs w:val="24"/>
        </w:rPr>
        <w:t>本委員會之選任委員由委員會全體委員推二名擔任院課程委員會之選任委員。</w:t>
      </w:r>
    </w:p>
    <w:p w:rsidR="00CF1055" w:rsidRPr="00AF1529" w:rsidRDefault="005D6DA4" w:rsidP="00AF1529">
      <w:pPr>
        <w:pStyle w:val="a3"/>
        <w:numPr>
          <w:ilvl w:val="0"/>
          <w:numId w:val="3"/>
        </w:numPr>
        <w:ind w:leftChars="0" w:left="851" w:hanging="851"/>
        <w:rPr>
          <w:rFonts w:ascii="標楷體" w:eastAsia="標楷體" w:hAnsi="標楷體"/>
          <w:szCs w:val="24"/>
        </w:rPr>
      </w:pPr>
      <w:r w:rsidRPr="00AF1529">
        <w:rPr>
          <w:rFonts w:ascii="標楷體" w:eastAsia="標楷體" w:hAnsi="標楷體" w:hint="eastAsia"/>
          <w:szCs w:val="24"/>
        </w:rPr>
        <w:t>本組織要點經系課程委員會議通過後，並送系務會議通過後，報請院課程委員會核備後實施，修正時亦同。</w:t>
      </w:r>
    </w:p>
    <w:sectPr w:rsidR="00CF1055" w:rsidRPr="00AF15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CCF" w:rsidRDefault="00495CCF" w:rsidP="006758FC">
      <w:r>
        <w:separator/>
      </w:r>
    </w:p>
  </w:endnote>
  <w:endnote w:type="continuationSeparator" w:id="0">
    <w:p w:rsidR="00495CCF" w:rsidRDefault="00495CCF" w:rsidP="0067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CCF" w:rsidRDefault="00495CCF" w:rsidP="006758FC">
      <w:r>
        <w:separator/>
      </w:r>
    </w:p>
  </w:footnote>
  <w:footnote w:type="continuationSeparator" w:id="0">
    <w:p w:rsidR="00495CCF" w:rsidRDefault="00495CCF" w:rsidP="00675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25BD0"/>
    <w:multiLevelType w:val="hybridMultilevel"/>
    <w:tmpl w:val="66CADF7E"/>
    <w:lvl w:ilvl="0" w:tplc="15CA6AC4">
      <w:start w:val="1"/>
      <w:numFmt w:val="taiwaneseCountingThousand"/>
      <w:lvlText w:val="%1、"/>
      <w:lvlJc w:val="left"/>
      <w:pPr>
        <w:ind w:left="600" w:hanging="600"/>
      </w:pPr>
      <w:rPr>
        <w:rFonts w:hint="default"/>
      </w:rPr>
    </w:lvl>
    <w:lvl w:ilvl="1" w:tplc="8FBEF888">
      <w:start w:val="1"/>
      <w:numFmt w:val="taiwaneseCountingThousand"/>
      <w:lvlText w:val="(%2)"/>
      <w:lvlJc w:val="left"/>
      <w:pPr>
        <w:ind w:left="1080" w:hanging="6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BF6250"/>
    <w:multiLevelType w:val="hybridMultilevel"/>
    <w:tmpl w:val="A7AAB6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3D385B"/>
    <w:multiLevelType w:val="hybridMultilevel"/>
    <w:tmpl w:val="66E01E4E"/>
    <w:lvl w:ilvl="0" w:tplc="15CA6AC4">
      <w:start w:val="1"/>
      <w:numFmt w:val="taiwaneseCountingThousand"/>
      <w:lvlText w:val="%1、"/>
      <w:lvlJc w:val="left"/>
      <w:pPr>
        <w:ind w:left="600" w:hanging="600"/>
      </w:pPr>
      <w:rPr>
        <w:rFonts w:hint="default"/>
      </w:rPr>
    </w:lvl>
    <w:lvl w:ilvl="1" w:tplc="0409000F">
      <w:start w:val="1"/>
      <w:numFmt w:val="decimal"/>
      <w:lvlText w:val="%2."/>
      <w:lvlJc w:val="left"/>
      <w:pPr>
        <w:ind w:left="1080" w:hanging="6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F2F06C7"/>
    <w:multiLevelType w:val="hybridMultilevel"/>
    <w:tmpl w:val="EFE0E278"/>
    <w:lvl w:ilvl="0" w:tplc="C908B0E8">
      <w:start w:val="1"/>
      <w:numFmt w:val="taiwaneseCountingThousand"/>
      <w:lvlText w:val="%1、"/>
      <w:lvlJc w:val="left"/>
      <w:pPr>
        <w:ind w:left="600" w:hanging="600"/>
      </w:pPr>
      <w:rPr>
        <w:rFonts w:ascii="標楷體" w:eastAsia="標楷體" w:hAnsi="標楷體" w:cstheme="minorBidi"/>
      </w:rPr>
    </w:lvl>
    <w:lvl w:ilvl="1" w:tplc="8FBEF888">
      <w:start w:val="1"/>
      <w:numFmt w:val="taiwaneseCountingThousand"/>
      <w:lvlText w:val="(%2)"/>
      <w:lvlJc w:val="left"/>
      <w:pPr>
        <w:ind w:left="1080" w:hanging="6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A4"/>
    <w:rsid w:val="00222F09"/>
    <w:rsid w:val="00495CCF"/>
    <w:rsid w:val="005D6DA4"/>
    <w:rsid w:val="006758FC"/>
    <w:rsid w:val="00870A98"/>
    <w:rsid w:val="00AF1529"/>
    <w:rsid w:val="00CF10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05AFC4-F88C-4A1A-8D98-E21C6AC1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DA4"/>
    <w:pPr>
      <w:ind w:leftChars="200" w:left="480"/>
    </w:pPr>
  </w:style>
  <w:style w:type="paragraph" w:styleId="a4">
    <w:name w:val="header"/>
    <w:basedOn w:val="a"/>
    <w:link w:val="a5"/>
    <w:uiPriority w:val="99"/>
    <w:unhideWhenUsed/>
    <w:rsid w:val="006758FC"/>
    <w:pPr>
      <w:tabs>
        <w:tab w:val="center" w:pos="4153"/>
        <w:tab w:val="right" w:pos="8306"/>
      </w:tabs>
      <w:snapToGrid w:val="0"/>
    </w:pPr>
    <w:rPr>
      <w:sz w:val="20"/>
      <w:szCs w:val="20"/>
    </w:rPr>
  </w:style>
  <w:style w:type="character" w:customStyle="1" w:styleId="a5">
    <w:name w:val="頁首 字元"/>
    <w:basedOn w:val="a0"/>
    <w:link w:val="a4"/>
    <w:uiPriority w:val="99"/>
    <w:rsid w:val="006758FC"/>
    <w:rPr>
      <w:sz w:val="20"/>
      <w:szCs w:val="20"/>
    </w:rPr>
  </w:style>
  <w:style w:type="paragraph" w:styleId="a6">
    <w:name w:val="footer"/>
    <w:basedOn w:val="a"/>
    <w:link w:val="a7"/>
    <w:uiPriority w:val="99"/>
    <w:unhideWhenUsed/>
    <w:rsid w:val="006758FC"/>
    <w:pPr>
      <w:tabs>
        <w:tab w:val="center" w:pos="4153"/>
        <w:tab w:val="right" w:pos="8306"/>
      </w:tabs>
      <w:snapToGrid w:val="0"/>
    </w:pPr>
    <w:rPr>
      <w:sz w:val="20"/>
      <w:szCs w:val="20"/>
    </w:rPr>
  </w:style>
  <w:style w:type="character" w:customStyle="1" w:styleId="a7">
    <w:name w:val="頁尾 字元"/>
    <w:basedOn w:val="a0"/>
    <w:link w:val="a6"/>
    <w:uiPriority w:val="99"/>
    <w:rsid w:val="006758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hsinyi lin</dc:creator>
  <cp:keywords/>
  <dc:description/>
  <cp:lastModifiedBy>user</cp:lastModifiedBy>
  <cp:revision>4</cp:revision>
  <dcterms:created xsi:type="dcterms:W3CDTF">2014-10-10T14:06:00Z</dcterms:created>
  <dcterms:modified xsi:type="dcterms:W3CDTF">2016-05-26T07:42:00Z</dcterms:modified>
</cp:coreProperties>
</file>